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DA" w:rsidRPr="00EF696E" w:rsidRDefault="009848DA" w:rsidP="009848DA">
      <w:pPr>
        <w:jc w:val="right"/>
        <w:rPr>
          <w:rFonts w:ascii="Sylfaen" w:hAnsi="Sylfaen" w:cs="Sylfaen"/>
          <w:sz w:val="18"/>
          <w:szCs w:val="18"/>
          <w:lang w:val="pt-BR"/>
        </w:rPr>
      </w:pPr>
      <w:r w:rsidRPr="00EF696E">
        <w:rPr>
          <w:rFonts w:ascii="Sylfaen" w:hAnsi="Sylfaen" w:cs="Sylfaen"/>
          <w:sz w:val="18"/>
          <w:szCs w:val="18"/>
          <w:lang w:val="pt-BR"/>
        </w:rPr>
        <w:t>Հավելված N 7</w:t>
      </w:r>
    </w:p>
    <w:p w:rsidR="009848DA" w:rsidRPr="00EF696E" w:rsidRDefault="009848DA" w:rsidP="009848DA">
      <w:pPr>
        <w:ind w:left="-93"/>
        <w:jc w:val="right"/>
        <w:rPr>
          <w:rFonts w:ascii="Sylfaen" w:hAnsi="Sylfaen" w:cs="Sylfaen"/>
          <w:sz w:val="18"/>
          <w:szCs w:val="18"/>
          <w:lang w:val="pt-BR"/>
        </w:rPr>
      </w:pPr>
      <w:r w:rsidRPr="00EF696E">
        <w:rPr>
          <w:rFonts w:ascii="Sylfaen" w:hAnsi="Sylfaen" w:cs="Sylfaen"/>
          <w:sz w:val="18"/>
          <w:szCs w:val="18"/>
          <w:lang w:val="pt-BR"/>
        </w:rPr>
        <w:t xml:space="preserve">ԼՂՀ ֆինանսների նախարարի </w:t>
      </w:r>
    </w:p>
    <w:p w:rsidR="009848DA" w:rsidRPr="00EF696E" w:rsidRDefault="009848DA" w:rsidP="00C95E06">
      <w:pPr>
        <w:jc w:val="right"/>
        <w:rPr>
          <w:rFonts w:ascii="Sylfaen" w:hAnsi="Sylfaen" w:cs="Sylfaen"/>
          <w:sz w:val="18"/>
          <w:szCs w:val="18"/>
          <w:lang w:val="pt-BR"/>
        </w:rPr>
      </w:pPr>
      <w:r w:rsidRPr="00EF696E">
        <w:rPr>
          <w:rFonts w:ascii="Sylfaen" w:hAnsi="Sylfaen" w:cs="Sylfaen"/>
          <w:sz w:val="18"/>
          <w:szCs w:val="18"/>
          <w:lang w:val="pt-BR"/>
        </w:rPr>
        <w:t>«01» հոկտեմբերի 2008թ.  N 115-Ն հրամանի</w:t>
      </w:r>
    </w:p>
    <w:p w:rsidR="009848DA" w:rsidRDefault="009848DA" w:rsidP="009848DA">
      <w:pPr>
        <w:rPr>
          <w:rFonts w:ascii="Sylfaen" w:hAnsi="Sylfaen" w:cs="Sylfaen"/>
          <w:sz w:val="16"/>
          <w:lang w:val="pt-BR"/>
        </w:rPr>
      </w:pPr>
    </w:p>
    <w:p w:rsidR="009848DA" w:rsidRPr="00C95E06" w:rsidRDefault="009848DA" w:rsidP="00C95E06">
      <w:pPr>
        <w:pStyle w:val="a3"/>
        <w:jc w:val="center"/>
        <w:rPr>
          <w:sz w:val="18"/>
          <w:szCs w:val="18"/>
          <w:lang w:val="pt-BR"/>
        </w:rPr>
      </w:pPr>
    </w:p>
    <w:tbl>
      <w:tblPr>
        <w:tblW w:w="11363" w:type="dxa"/>
        <w:tblInd w:w="-1168" w:type="dxa"/>
        <w:tblLayout w:type="fixed"/>
        <w:tblLook w:val="04A0"/>
      </w:tblPr>
      <w:tblGrid>
        <w:gridCol w:w="850"/>
        <w:gridCol w:w="720"/>
        <w:gridCol w:w="153"/>
        <w:gridCol w:w="567"/>
        <w:gridCol w:w="748"/>
        <w:gridCol w:w="790"/>
        <w:gridCol w:w="720"/>
        <w:gridCol w:w="981"/>
        <w:gridCol w:w="4961"/>
        <w:gridCol w:w="873"/>
      </w:tblGrid>
      <w:tr w:rsidR="009848DA" w:rsidRPr="00C95E06" w:rsidTr="00197558">
        <w:trPr>
          <w:trHeight w:val="330"/>
        </w:trPr>
        <w:tc>
          <w:tcPr>
            <w:tcW w:w="10490" w:type="dxa"/>
            <w:gridSpan w:val="9"/>
            <w:hideMark/>
          </w:tcPr>
          <w:p w:rsidR="009848DA" w:rsidRPr="00C95E06" w:rsidRDefault="009848DA" w:rsidP="00C95E06">
            <w:pPr>
              <w:pStyle w:val="a3"/>
              <w:jc w:val="center"/>
              <w:rPr>
                <w:b/>
                <w:sz w:val="18"/>
                <w:szCs w:val="18"/>
                <w:lang w:val="pt-BR"/>
              </w:rPr>
            </w:pP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ՀԻՄՆԱԿԱՆ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ԳՈՒՄԱՐԻ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ՄԱՐՄԱՆ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ԵՎ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ՖԻՆԱՆՍԱԿԱՆ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ԱԿՏԻՎՆԵՐԻ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ՁԵՌՔԲԵՐՄԱՆ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ԳԾՈՎ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ԾԱԽՍԵՐԻ</w:t>
            </w:r>
            <w:r w:rsidRPr="00C95E06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95E06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ԴԱՍԱԿԱՐԳՈՒՄԸ</w:t>
            </w:r>
          </w:p>
        </w:tc>
        <w:tc>
          <w:tcPr>
            <w:tcW w:w="873" w:type="dxa"/>
          </w:tcPr>
          <w:p w:rsidR="009848DA" w:rsidRPr="00C95E06" w:rsidRDefault="009848DA" w:rsidP="00C95E06">
            <w:pPr>
              <w:pStyle w:val="a3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9848DA" w:rsidRPr="00C95E06" w:rsidTr="00197558">
        <w:trPr>
          <w:gridAfter w:val="7"/>
          <w:wAfter w:w="9640" w:type="dxa"/>
          <w:trHeight w:val="80"/>
        </w:trPr>
        <w:tc>
          <w:tcPr>
            <w:tcW w:w="850" w:type="dxa"/>
          </w:tcPr>
          <w:p w:rsidR="009848DA" w:rsidRPr="00C95E06" w:rsidRDefault="009848DA" w:rsidP="00C95E06">
            <w:pPr>
              <w:pStyle w:val="a3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873" w:type="dxa"/>
            <w:gridSpan w:val="2"/>
          </w:tcPr>
          <w:p w:rsidR="009848DA" w:rsidRPr="00C95E06" w:rsidRDefault="009848DA" w:rsidP="00C95E06">
            <w:pPr>
              <w:pStyle w:val="a3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9848DA" w:rsidTr="00197558">
        <w:trPr>
          <w:cantSplit/>
          <w:trHeight w:val="70"/>
        </w:trPr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848DA" w:rsidRDefault="009848DA" w:rsidP="009848DA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 xml:space="preserve"> Տնտեսագիտական ծածկագիր 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Դասակարգման տարրերի անվանումները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ԿՖՎ </w:t>
            </w:r>
          </w:p>
          <w:p w:rsidR="009848DA" w:rsidRDefault="009848DA" w:rsidP="00594CF9">
            <w:pPr>
              <w:ind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ծածկա</w:t>
            </w:r>
            <w:r>
              <w:rPr>
                <w:rFonts w:ascii="Sylfaen" w:hAnsi="Sylfaen" w:cs="Sylfaen"/>
                <w:b/>
                <w:sz w:val="16"/>
              </w:rPr>
              <w:softHyphen/>
              <w:t>գիր</w:t>
            </w:r>
            <w:proofErr w:type="spellEnd"/>
          </w:p>
        </w:tc>
      </w:tr>
      <w:tr w:rsidR="009848DA" w:rsidTr="00EB4AF1">
        <w:trPr>
          <w:cantSplit/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ԿՖՎ</w:t>
            </w:r>
          </w:p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 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*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Դաս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Կատեգորիա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Խումբ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Սին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թետիկ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Անա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լի-տիկ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Ենթա</w:t>
            </w:r>
            <w:r>
              <w:rPr>
                <w:rFonts w:ascii="Sylfaen" w:hAnsi="Sylfaen" w:cs="Sylfaen"/>
                <w:b/>
                <w:sz w:val="16"/>
              </w:rPr>
              <w:softHyphen/>
              <w:t>անալիտիկ</w:t>
            </w:r>
            <w:proofErr w:type="spellEnd"/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600000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ՀԻՄՆԱԿԱՆ ԳՈՒՄԱՐԻ ՄԱՐՄԱՆ ԵՎ ՖԻՆԱՆՍԱԿԱՆ ԱԿՏԻՎՆԵՐԻ ՁԵՌՔԲԵՐՄԱՆ ԳԾՈՎ ԾԱԽՍԵՐ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ՀԻՄՆԱԿԱՆ ԳՈՒՄԱՐԻ ՄԱՐՈՒՄ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611000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ՆԵՐՔԻՆ ՓՈԽԱՌՈՒ ՄԻՋՈՑՆԵՐԻ ՀԻՄՆԱԿԱՆ ԳՈՒՄԱՐԻ ՄԱՐՈՒՄ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բացառությամբ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197558">
        <w:trPr>
          <w:trHeight w:val="34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3313</w:t>
            </w:r>
          </w:p>
        </w:tc>
      </w:tr>
      <w:tr w:rsidR="009848DA" w:rsidTr="00197558">
        <w:trPr>
          <w:trHeight w:val="15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զեղչեր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197558">
        <w:trPr>
          <w:trHeight w:val="2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197558">
        <w:trPr>
          <w:trHeight w:val="22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3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3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9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7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611230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8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197558">
        <w:trPr>
          <w:trHeight w:val="2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EB4AF1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21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611910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37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611911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դիմաց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</w:tr>
      <w:tr w:rsidR="009848DA" w:rsidTr="00197558">
        <w:trPr>
          <w:trHeight w:val="34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611912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դիմաց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</w:tr>
      <w:tr w:rsidR="009848DA" w:rsidTr="00A17AD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612000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 xml:space="preserve">ԱՐՏԱՔԻՆ ՓՈԽԱՌՈՒ ՄԻՋՈՑՆԵՐԻ ՀԻՄՆԱԿԱՆ ԳՈՒՄԱՐԻ </w:t>
            </w:r>
            <w:r>
              <w:rPr>
                <w:rFonts w:ascii="Sylfaen" w:hAnsi="Sylfaen" w:cs="Sylfaen"/>
                <w:b/>
                <w:i/>
                <w:sz w:val="16"/>
              </w:rPr>
              <w:lastRenderedPageBreak/>
              <w:t>ՄԱՐՈՒՄ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lastRenderedPageBreak/>
              <w:t>Չկա</w:t>
            </w:r>
            <w:proofErr w:type="spellEnd"/>
          </w:p>
        </w:tc>
      </w:tr>
      <w:tr w:rsidR="009848DA" w:rsidTr="00197558">
        <w:trPr>
          <w:trHeight w:val="13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30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612110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27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25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զեղչեր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23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1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612210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15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31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Համաշխարհային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միջազգային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46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24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վարկատուներին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612220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21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A17AD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Համաշխարհային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միջազգային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26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վարկատուներին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612900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22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612910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միջոցների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մասով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1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612911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դիմաց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</w:tr>
      <w:tr w:rsidR="009848DA" w:rsidTr="00197558">
        <w:trPr>
          <w:trHeight w:val="17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612912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Ֆիսկալ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ընթացքում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դիմաց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</w:tr>
      <w:tr w:rsidR="009848DA" w:rsidTr="00197558">
        <w:trPr>
          <w:trHeight w:val="1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ՖԻՆԱՆՍԱԿԱՆ ԱԿՏԻՎՆԵՐԻ ՁԵՌՔ ԲԵՐՈՒՄ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1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621000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ՆԵՐՔԻՆ ՖԻՆԱՆՍԱԿԱՆ ԱԿՏԻՎՆԵՐԻ ՁԵՌՔԲԵՐՈՒՄ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9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8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2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փոխատվություններ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6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հատվածի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A17AD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lastRenderedPageBreak/>
              <w:t>ապահովագրության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3214</w:t>
            </w:r>
          </w:p>
        </w:tc>
      </w:tr>
      <w:tr w:rsidR="009848DA" w:rsidTr="00197558">
        <w:trPr>
          <w:trHeight w:val="9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A17AD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հատվածի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25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ապահովագրության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30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621230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փոխատվություններ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հատվածի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27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փոխատվություններ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7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փոխատվություններ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2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փոխատվություններ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ապահովագրության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փոխատվություններ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2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10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</w:tr>
      <w:tr w:rsidR="009848DA" w:rsidTr="00197558">
        <w:trPr>
          <w:trHeight w:val="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մասնաբաժինների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</w:tr>
      <w:tr w:rsidR="009848DA" w:rsidTr="00197558">
        <w:trPr>
          <w:trHeight w:val="25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ind w:left="-136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մասնաբաժինների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621312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տեղական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621320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մասնաբաժինների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</w:tr>
      <w:tr w:rsidR="009848DA" w:rsidTr="00197558">
        <w:trPr>
          <w:trHeight w:val="11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621321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մասնաբաժինների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622000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 xml:space="preserve">ԱՐՏԱՔԻՆ ՖԻՆԱՆՍԱԿԱՆ ԱԿՏԻՎՆԵՐԻ ՁԵՌՔ ԲԵՐՈՒՄ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622100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2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622110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14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622120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1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ձեռքբերում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</w:tr>
      <w:tr w:rsidR="009848DA" w:rsidTr="00197558">
        <w:trPr>
          <w:trHeight w:val="27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պետությունների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կառավարություններին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</w:tr>
      <w:tr w:rsidR="009848DA" w:rsidTr="00197558">
        <w:trPr>
          <w:trHeight w:val="25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622210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կառավարություններին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622211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կառավարություններին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622220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</w:p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կառավարություններին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right="-108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622221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</w:p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կառավարություններին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</w:tr>
      <w:tr w:rsidR="009848DA" w:rsidTr="00A17AD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622300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կապիտալի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ձեռքբերում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</w:tr>
      <w:tr w:rsidR="009848DA" w:rsidTr="00197558">
        <w:trPr>
          <w:trHeight w:val="34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622310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մասնակցություն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</w:tr>
      <w:tr w:rsidR="009848DA" w:rsidTr="00197558">
        <w:trPr>
          <w:trHeight w:val="1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622311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622320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մասնակցություն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622321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</w:tr>
      <w:tr w:rsidR="009848DA" w:rsidTr="00197558">
        <w:trPr>
          <w:trHeight w:val="44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690000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ՀԱՇՎԱՆՑՈՒՄՆԵՐ` ՀԻՄՆԱԿԱՆ ԳՈՒՄԱՐԻ ՄԱՐՈՒՄՆԵՐԻ ԵՎ ՖԻՆԱՆՍԱԿԱՆ ԱԿՏԻՎՆԵՐԻ ՁԵՌՔ ԲԵՐՄԱՆ ԳԾՈՎ ԾԱԽՍԵՐ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6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699000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ՀԱՇՎԱՆՑՈՒՄՆԵՐ` ՀԻՄՆԱԿԱՆ ԳՈՒՄԱՐԻ ՄԱՐՈՒՄՆԵՐԻ ԵՎ ՖԻՆԱՆՍԱԿԱՆ ԱԿՏԻՎՆԵՐԻ ՁԵՌՔ ԲԵՐՄԱՆ ԳԾՈՎ ԾԱԽՍԵՐ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ind w:left="-136"/>
              <w:jc w:val="right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699900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մարման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բերման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ծախսեր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699990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մարման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ձեռքբերման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ծախսեր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699999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գումարի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բերման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ծախսեր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9848DA" w:rsidTr="006A5D16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9848DA" w:rsidTr="006A5D16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* ԿՖՎ </w:t>
            </w:r>
          </w:p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9848DA" w:rsidTr="00197558">
        <w:trPr>
          <w:trHeight w:val="255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ԿՖՎ </w:t>
            </w:r>
            <w:proofErr w:type="spellStart"/>
            <w:r>
              <w:rPr>
                <w:rFonts w:ascii="Sylfaen" w:hAnsi="Sylfaen" w:cs="Sylfaen"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ծածկագիրը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կնախորդի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դասային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հիմնվելով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գործառնության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տեսակի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վրա</w:t>
            </w:r>
            <w:proofErr w:type="spellEnd"/>
            <w:r>
              <w:rPr>
                <w:rFonts w:ascii="Sylfaen" w:hAnsi="Sylfaen" w:cs="Sylfaen"/>
                <w:sz w:val="16"/>
              </w:rPr>
              <w:t>: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</w:p>
        </w:tc>
      </w:tr>
      <w:tr w:rsidR="009848DA" w:rsidTr="00197558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պարտավորություններում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48DA" w:rsidRDefault="009848DA" w:rsidP="00594CF9">
            <w:pPr>
              <w:rPr>
                <w:rFonts w:ascii="Sylfaen" w:hAnsi="Sylfaen" w:cs="Sylfaen"/>
                <w:sz w:val="16"/>
              </w:rPr>
            </w:pPr>
          </w:p>
        </w:tc>
      </w:tr>
    </w:tbl>
    <w:p w:rsidR="002538A4" w:rsidRDefault="002538A4"/>
    <w:sectPr w:rsidR="002538A4" w:rsidSect="00C95E0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8DA"/>
    <w:rsid w:val="001908CB"/>
    <w:rsid w:val="00197558"/>
    <w:rsid w:val="002538A4"/>
    <w:rsid w:val="006A5D16"/>
    <w:rsid w:val="009848DA"/>
    <w:rsid w:val="00A17AD5"/>
    <w:rsid w:val="00C95E06"/>
    <w:rsid w:val="00EB4AF1"/>
    <w:rsid w:val="00EF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1476</Words>
  <Characters>8417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10</cp:revision>
  <dcterms:created xsi:type="dcterms:W3CDTF">2017-06-20T10:38:00Z</dcterms:created>
  <dcterms:modified xsi:type="dcterms:W3CDTF">2017-06-20T10:48:00Z</dcterms:modified>
</cp:coreProperties>
</file>